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w:t>
      </w:r>
      <w:r>
        <w:rPr>
          <w:rFonts w:hint="default" w:ascii="Arial" w:hAnsi="Arial" w:cs="Arial"/>
          <w:b/>
          <w:bCs/>
          <w:sz w:val="28"/>
          <w:szCs w:val="24"/>
          <w:lang w:val="en-US" w:eastAsia="zh-CN"/>
        </w:rPr>
        <w:t>9</w:t>
      </w:r>
      <w:r>
        <w:rPr>
          <w:rFonts w:ascii="Arial" w:hAnsi="Arial" w:eastAsia="Batang" w:cs="Arial"/>
          <w:b/>
          <w:bCs/>
          <w:sz w:val="28"/>
          <w:szCs w:val="24"/>
          <w:lang w:eastAsia="en-US"/>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hint="eastAsia" w:ascii="Arial" w:hAnsi="Arial" w:cs="Arial"/>
          <w:b/>
          <w:bCs/>
          <w:sz w:val="28"/>
          <w:szCs w:val="24"/>
          <w:lang w:val="en-US" w:eastAsia="zh-CN"/>
        </w:rPr>
        <w:t xml:space="preserve">                         </w:t>
      </w:r>
      <w:r>
        <w:rPr>
          <w:rFonts w:hint="eastAsia" w:ascii="Arial" w:hAnsi="Arial" w:eastAsia="Batang" w:cs="Arial"/>
          <w:b/>
          <w:bCs/>
          <w:sz w:val="28"/>
          <w:szCs w:val="24"/>
          <w:lang w:eastAsia="en-US"/>
        </w:rPr>
        <w:t>R1-220431</w:t>
      </w:r>
      <w:r>
        <w:rPr>
          <w:rFonts w:hint="default" w:ascii="Arial" w:hAnsi="Arial" w:eastAsia="Batang" w:cs="Arial"/>
          <w:b/>
          <w:bCs/>
          <w:sz w:val="28"/>
          <w:szCs w:val="24"/>
          <w:lang w:val="en-US" w:eastAsia="en-US"/>
        </w:rPr>
        <w:t>7</w:t>
      </w:r>
    </w:p>
    <w:p>
      <w:pPr>
        <w:tabs>
          <w:tab w:val="center" w:pos="4536"/>
          <w:tab w:val="right" w:pos="9072"/>
        </w:tabs>
        <w:outlineLvl w:val="0"/>
        <w:rPr>
          <w:rFonts w:ascii="Arial" w:hAnsi="Arial" w:eastAsia="Batang" w:cs="Arial"/>
          <w:b/>
          <w:bCs/>
          <w:sz w:val="28"/>
          <w:szCs w:val="24"/>
          <w:lang w:eastAsia="en-US"/>
        </w:rPr>
      </w:pPr>
      <w:r>
        <w:rPr>
          <w:rFonts w:ascii="Arial" w:hAnsi="Arial" w:eastAsia="MS Mincho" w:cs="Arial"/>
          <w:b/>
          <w:bCs/>
          <w:sz w:val="28"/>
          <w:lang w:eastAsia="ja-JP"/>
        </w:rPr>
        <w:t>e-Meeting, May 9</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20</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widowControl w:val="0"/>
        <w:spacing w:after="0"/>
        <w:jc w:val="both"/>
        <w:rPr>
          <w:sz w:val="24"/>
          <w:szCs w:val="24"/>
          <w:lang w:eastAsia="zh-CN"/>
        </w:rPr>
      </w:pPr>
    </w:p>
    <w:p>
      <w:pPr>
        <w:pStyle w:val="104"/>
        <w:spacing w:after="0"/>
        <w:outlineLvl w:val="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other aspects for RedCap UE</w:t>
      </w:r>
    </w:p>
    <w:p>
      <w:pPr>
        <w:pStyle w:val="104"/>
        <w:spacing w:after="0"/>
        <w:outlineLvl w:val="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9.6.3</w:t>
      </w:r>
    </w:p>
    <w:p>
      <w:pPr>
        <w:pStyle w:val="104"/>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rFonts w:hint="default"/>
          <w:bCs/>
          <w:lang w:val="en-US" w:eastAsia="zh-CN"/>
        </w:rPr>
      </w:pPr>
      <w:r>
        <w:rPr>
          <w:rFonts w:hint="default"/>
          <w:bCs/>
          <w:lang w:val="en-US" w:eastAsia="zh-CN"/>
        </w:rPr>
        <w:t xml:space="preserve">According to the SID objective listed in the following[1], the network impact of introducing further UE complexity techniques should be considered </w:t>
      </w:r>
      <w:r>
        <w:rPr>
          <w:rFonts w:hint="default"/>
          <w:lang w:val="en-US" w:eastAsia="ja-JP"/>
        </w:rPr>
        <w:t>.</w:t>
      </w:r>
    </w:p>
    <w:p>
      <w:pPr>
        <w:numPr>
          <w:ilvl w:val="0"/>
          <w:numId w:val="7"/>
        </w:numPr>
        <w:ind w:right="-99"/>
        <w:rPr>
          <w:lang w:eastAsia="ja-JP"/>
        </w:rPr>
      </w:pPr>
      <w:r>
        <w:rPr>
          <w:lang w:eastAsia="ja-JP"/>
        </w:rPr>
        <w:t>Study further UE complexity reduction techniques based on Rel-17 evaluation methodology in TR 38.875 [RAN1]</w:t>
      </w:r>
    </w:p>
    <w:p>
      <w:pPr>
        <w:numPr>
          <w:ilvl w:val="1"/>
          <w:numId w:val="8"/>
        </w:numPr>
        <w:ind w:right="-99"/>
        <w:rPr>
          <w:lang w:eastAsia="ja-JP"/>
        </w:rPr>
      </w:pPr>
      <w:r>
        <w:rPr>
          <w:lang w:eastAsia="ja-JP"/>
        </w:rPr>
        <w:t>Consider network impact, coexistence of Rel-17 and Rel-18 RedCap and non-RedCap UEs in a cell, UE impact, specification impact</w:t>
      </w:r>
    </w:p>
    <w:p>
      <w:pPr>
        <w:numPr>
          <w:ilvl w:val="1"/>
          <w:numId w:val="8"/>
        </w:numPr>
        <w:ind w:right="-99"/>
        <w:rPr>
          <w:lang w:eastAsia="ja-JP"/>
        </w:rPr>
      </w:pPr>
      <w:r>
        <w:rPr>
          <w:lang w:eastAsia="ja-JP"/>
        </w:rPr>
        <w:t>Potential solutions, which may complement each other, for reducing device complexity are focusing on:</w:t>
      </w:r>
    </w:p>
    <w:p>
      <w:pPr>
        <w:numPr>
          <w:ilvl w:val="2"/>
          <w:numId w:val="8"/>
        </w:numPr>
        <w:ind w:right="-99"/>
        <w:rPr>
          <w:lang w:eastAsia="ja-JP"/>
        </w:rPr>
      </w:pPr>
      <w:r>
        <w:rPr>
          <w:lang w:eastAsia="ja-JP"/>
        </w:rPr>
        <w:t>UE bandwidth reduction to 5MHz in FR1,</w:t>
      </w:r>
    </w:p>
    <w:p>
      <w:pPr>
        <w:numPr>
          <w:ilvl w:val="3"/>
          <w:numId w:val="8"/>
        </w:numPr>
        <w:ind w:right="-99"/>
        <w:rPr>
          <w:lang w:eastAsia="ja-JP"/>
        </w:rPr>
      </w:pPr>
      <w:r>
        <w:rPr>
          <w:lang w:eastAsia="ja-JP"/>
        </w:rPr>
        <w:t>Possibly in combination with relaxed UE processing timeline for PDSCH and/or PUSCH and/or CSI</w:t>
      </w:r>
    </w:p>
    <w:p>
      <w:pPr>
        <w:numPr>
          <w:ilvl w:val="2"/>
          <w:numId w:val="8"/>
        </w:numPr>
        <w:ind w:right="-99"/>
        <w:rPr>
          <w:lang w:eastAsia="ja-JP"/>
        </w:rPr>
      </w:pPr>
      <w:r>
        <w:rPr>
          <w:lang w:eastAsia="ja-JP"/>
        </w:rPr>
        <w:t xml:space="preserve">reduced UE peak data rate in FR1, </w:t>
      </w:r>
    </w:p>
    <w:p>
      <w:pPr>
        <w:numPr>
          <w:ilvl w:val="3"/>
          <w:numId w:val="8"/>
        </w:numPr>
        <w:ind w:right="-99"/>
        <w:rPr>
          <w:lang w:eastAsia="ja-JP"/>
        </w:rPr>
      </w:pPr>
      <w:r>
        <w:rPr>
          <w:lang w:eastAsia="ja-JP"/>
        </w:rPr>
        <w:t>Possibly including restricted bandwidth for PDSCH and/or PUSCH</w:t>
      </w:r>
    </w:p>
    <w:p>
      <w:pPr>
        <w:numPr>
          <w:ilvl w:val="3"/>
          <w:numId w:val="8"/>
        </w:numPr>
        <w:ind w:right="-99"/>
        <w:rPr>
          <w:lang w:eastAsia="ja-JP"/>
        </w:rPr>
      </w:pPr>
      <w:r>
        <w:rPr>
          <w:lang w:eastAsia="ja-JP"/>
        </w:rPr>
        <w:t>Possibly in combination with relaxed UE processing timeline for PDSCH and/or PUSCH and/or CSI</w:t>
      </w:r>
    </w:p>
    <w:p>
      <w:pPr>
        <w:numPr>
          <w:ilvl w:val="0"/>
          <w:numId w:val="8"/>
        </w:numPr>
        <w:ind w:right="-99"/>
        <w:rPr>
          <w:lang w:eastAsia="ja-JP"/>
        </w:rPr>
      </w:pPr>
      <w:r>
        <w:rPr>
          <w:lang w:eastAsia="ja-JP"/>
        </w:rPr>
        <w:t>Notes:</w:t>
      </w:r>
    </w:p>
    <w:p>
      <w:pPr>
        <w:numPr>
          <w:ilvl w:val="1"/>
          <w:numId w:val="8"/>
        </w:numPr>
        <w:ind w:right="-99"/>
        <w:rPr>
          <w:lang w:eastAsia="ja-JP"/>
        </w:rPr>
      </w:pPr>
      <w:r>
        <w:rPr>
          <w:lang w:eastAsia="ja-JP"/>
        </w:rPr>
        <w:t>Rel-15 SSB should be reused and L1 changes minimized.</w:t>
      </w:r>
    </w:p>
    <w:p>
      <w:pPr>
        <w:numPr>
          <w:ilvl w:val="1"/>
          <w:numId w:val="8"/>
        </w:numPr>
        <w:ind w:right="-99"/>
        <w:rPr>
          <w:lang w:eastAsia="ja-JP"/>
        </w:rPr>
      </w:pPr>
      <w:r>
        <w:rPr>
          <w:lang w:eastAsia="ja-JP"/>
        </w:rPr>
        <w:t>Operation in BWP with/without SSB and without/with RF retuning should be considered.</w:t>
      </w:r>
    </w:p>
    <w:p>
      <w:pPr>
        <w:numPr>
          <w:ilvl w:val="1"/>
          <w:numId w:val="8"/>
        </w:numPr>
        <w:ind w:right="-99"/>
        <w:rPr>
          <w:lang w:eastAsia="ja-JP"/>
        </w:rPr>
      </w:pPr>
      <w:r>
        <w:rPr>
          <w:lang w:val="en-US"/>
        </w:rPr>
        <w:t>It is not precluded that some solutions for FR1 can be applied to FR2 in WI stage</w:t>
      </w:r>
      <w:r>
        <w:rPr>
          <w:lang w:eastAsia="ja-JP"/>
        </w:rPr>
        <w:t>.</w:t>
      </w:r>
    </w:p>
    <w:p>
      <w:pPr>
        <w:numPr>
          <w:ilvl w:val="1"/>
          <w:numId w:val="8"/>
        </w:numPr>
        <w:ind w:right="-99"/>
        <w:rPr>
          <w:lang w:eastAsia="ja-JP"/>
        </w:rPr>
      </w:pPr>
      <w:r>
        <w:rPr>
          <w:lang w:eastAsia="ja-JP"/>
        </w:rPr>
        <w:t>Aim to define a single Rel-18 RedCap UE type for further UE complexity reduction.</w:t>
      </w:r>
    </w:p>
    <w:p>
      <w:pPr>
        <w:overflowPunct w:val="0"/>
        <w:autoSpaceDE w:val="0"/>
        <w:autoSpaceDN w:val="0"/>
        <w:adjustRightInd w:val="0"/>
        <w:spacing w:before="0"/>
        <w:jc w:val="both"/>
        <w:textAlignment w:val="baseline"/>
        <w:rPr>
          <w:rFonts w:hint="default"/>
          <w:bCs/>
          <w:lang w:val="en-US" w:eastAsia="zh-CN"/>
        </w:rPr>
      </w:pPr>
      <w:r>
        <w:rPr>
          <w:rFonts w:hint="default"/>
          <w:bCs/>
          <w:lang w:val="en-US" w:eastAsia="zh-CN"/>
        </w:rPr>
        <w:t xml:space="preserve">In this contribution, we will discuss network overhead impact for further </w:t>
      </w:r>
      <w:r>
        <w:rPr>
          <w:lang w:eastAsia="ja-JP"/>
        </w:rPr>
        <w:t>UE bandwidth reduction to 5MHz</w:t>
      </w:r>
      <w:r>
        <w:rPr>
          <w:rFonts w:hint="default"/>
          <w:lang w:val="en-US" w:eastAsia="ja-JP"/>
        </w:rPr>
        <w:t xml:space="preserve"> and give our proposals</w:t>
      </w:r>
      <w:r>
        <w:rPr>
          <w:rFonts w:hint="default"/>
          <w:bCs/>
          <w:lang w:val="en-US" w:eastAsia="zh-CN"/>
        </w:rPr>
        <w:t>.</w:t>
      </w:r>
    </w:p>
    <w:p>
      <w:pPr>
        <w:pStyle w:val="2"/>
        <w:numPr>
          <w:ilvl w:val="0"/>
          <w:numId w:val="6"/>
        </w:numPr>
        <w:jc w:val="both"/>
        <w:rPr>
          <w:rFonts w:hint="default" w:ascii="Times New Roman" w:hAnsi="Times New Roman" w:eastAsiaTheme="minorEastAsia"/>
          <w:lang w:val="en-US" w:eastAsia="zh-CN"/>
        </w:rPr>
      </w:pPr>
      <w:r>
        <w:rPr>
          <w:rFonts w:hint="eastAsia" w:ascii="Times New Roman" w:hAnsi="Times New Roman" w:eastAsiaTheme="minorEastAsia"/>
          <w:lang w:eastAsia="zh-CN"/>
        </w:rPr>
        <w:t>Discussion on network overhead impact for further UE bandwidth reduction to 5MHz</w:t>
      </w:r>
    </w:p>
    <w:p>
      <w:pPr>
        <w:rPr>
          <w:rFonts w:hint="default"/>
          <w:b w:val="0"/>
          <w:bCs w:val="0"/>
          <w:lang w:val="en-US" w:eastAsia="zh-CN"/>
        </w:rPr>
      </w:pPr>
      <w:r>
        <w:rPr>
          <w:rFonts w:hint="default"/>
          <w:b w:val="0"/>
          <w:bCs w:val="0"/>
          <w:lang w:val="en-US" w:eastAsia="zh-CN"/>
        </w:rPr>
        <w:t>During R17 RedCap work item phase, there has been long time discussion about whether SSB is mandated in active BWP. The focus of debate is network overhead vs UE complexity. For legacy R15/16 UEs, FG 6-1 is the basic UE feature, where UE expects a RRC configured BWP to include BW of CORESET#0 and SSB.</w:t>
      </w:r>
    </w:p>
    <w:p>
      <w:pPr>
        <w:jc w:val="center"/>
        <w:rPr>
          <w:rFonts w:hint="default"/>
          <w:b w:val="0"/>
          <w:bCs w:val="0"/>
          <w:lang w:val="en-US" w:eastAsia="zh-CN"/>
        </w:rPr>
      </w:pPr>
      <w:r>
        <w:rPr>
          <w:rFonts w:hint="default"/>
          <w:b w:val="0"/>
          <w:bCs w:val="0"/>
          <w:lang w:val="en-US" w:eastAsia="zh-CN"/>
        </w:rPr>
        <w:t>Table 1. Feature group 6-1 in TR38.822</w:t>
      </w:r>
    </w:p>
    <w:tbl>
      <w:tblPr>
        <w:tblStyle w:val="49"/>
        <w:tblW w:w="5000" w:type="pct"/>
        <w:tblInd w:w="0" w:type="dxa"/>
        <w:tblLayout w:type="fixed"/>
        <w:tblCellMar>
          <w:top w:w="0" w:type="dxa"/>
          <w:left w:w="108" w:type="dxa"/>
          <w:bottom w:w="0" w:type="dxa"/>
          <w:right w:w="108" w:type="dxa"/>
        </w:tblCellMar>
      </w:tblPr>
      <w:tblGrid>
        <w:gridCol w:w="675"/>
        <w:gridCol w:w="599"/>
        <w:gridCol w:w="597"/>
        <w:gridCol w:w="1335"/>
        <w:gridCol w:w="733"/>
        <w:gridCol w:w="750"/>
        <w:gridCol w:w="1350"/>
        <w:gridCol w:w="756"/>
        <w:gridCol w:w="850"/>
        <w:gridCol w:w="898"/>
        <w:gridCol w:w="1312"/>
      </w:tblGrid>
      <w:tr>
        <w:tblPrEx>
          <w:tblCellMar>
            <w:top w:w="0" w:type="dxa"/>
            <w:left w:w="108" w:type="dxa"/>
            <w:bottom w:w="0" w:type="dxa"/>
            <w:right w:w="108" w:type="dxa"/>
          </w:tblCellMar>
        </w:tblPrEx>
        <w:tc>
          <w:tcPr>
            <w:tcW w:w="342" w:type="pct"/>
          </w:tcPr>
          <w:p>
            <w:pPr>
              <w:pStyle w:val="73"/>
              <w:rPr>
                <w:sz w:val="11"/>
                <w:szCs w:val="13"/>
              </w:rPr>
            </w:pPr>
            <w:r>
              <w:rPr>
                <w:sz w:val="11"/>
                <w:szCs w:val="13"/>
              </w:rPr>
              <w:t>Features</w:t>
            </w:r>
          </w:p>
        </w:tc>
        <w:tc>
          <w:tcPr>
            <w:tcW w:w="303" w:type="pct"/>
          </w:tcPr>
          <w:p>
            <w:pPr>
              <w:pStyle w:val="73"/>
              <w:rPr>
                <w:sz w:val="11"/>
                <w:szCs w:val="13"/>
              </w:rPr>
            </w:pPr>
            <w:r>
              <w:rPr>
                <w:sz w:val="11"/>
                <w:szCs w:val="13"/>
              </w:rPr>
              <w:t>Index</w:t>
            </w:r>
          </w:p>
        </w:tc>
        <w:tc>
          <w:tcPr>
            <w:tcW w:w="302" w:type="pct"/>
          </w:tcPr>
          <w:p>
            <w:pPr>
              <w:pStyle w:val="73"/>
              <w:rPr>
                <w:sz w:val="11"/>
                <w:szCs w:val="13"/>
              </w:rPr>
            </w:pPr>
            <w:r>
              <w:rPr>
                <w:sz w:val="11"/>
                <w:szCs w:val="13"/>
              </w:rPr>
              <w:t>Feature group</w:t>
            </w:r>
          </w:p>
        </w:tc>
        <w:tc>
          <w:tcPr>
            <w:tcW w:w="677" w:type="pct"/>
          </w:tcPr>
          <w:p>
            <w:pPr>
              <w:pStyle w:val="73"/>
              <w:rPr>
                <w:sz w:val="11"/>
                <w:szCs w:val="13"/>
              </w:rPr>
            </w:pPr>
            <w:r>
              <w:rPr>
                <w:sz w:val="11"/>
                <w:szCs w:val="13"/>
              </w:rPr>
              <w:t>Components</w:t>
            </w:r>
          </w:p>
        </w:tc>
        <w:tc>
          <w:tcPr>
            <w:tcW w:w="371" w:type="pct"/>
          </w:tcPr>
          <w:p>
            <w:pPr>
              <w:pStyle w:val="73"/>
              <w:rPr>
                <w:sz w:val="11"/>
                <w:szCs w:val="13"/>
              </w:rPr>
            </w:pPr>
            <w:r>
              <w:rPr>
                <w:sz w:val="11"/>
                <w:szCs w:val="13"/>
              </w:rPr>
              <w:t>Prerequisite feature groups</w:t>
            </w:r>
          </w:p>
        </w:tc>
        <w:tc>
          <w:tcPr>
            <w:tcW w:w="380" w:type="pct"/>
          </w:tcPr>
          <w:p>
            <w:pPr>
              <w:pStyle w:val="73"/>
              <w:rPr>
                <w:sz w:val="11"/>
                <w:szCs w:val="13"/>
              </w:rPr>
            </w:pPr>
            <w:r>
              <w:rPr>
                <w:sz w:val="11"/>
                <w:szCs w:val="13"/>
              </w:rPr>
              <w:t>Field name in TS 38.331 [2]</w:t>
            </w:r>
          </w:p>
        </w:tc>
        <w:tc>
          <w:tcPr>
            <w:tcW w:w="684" w:type="pct"/>
          </w:tcPr>
          <w:p>
            <w:pPr>
              <w:pStyle w:val="88"/>
              <w:rPr>
                <w:rFonts w:ascii="Arial" w:hAnsi="Arial" w:eastAsia="宋体" w:cs="Times New Roman"/>
                <w:b/>
                <w:sz w:val="11"/>
                <w:szCs w:val="13"/>
                <w:lang w:val="en-GB" w:eastAsia="ja-JP" w:bidi="ar-SA"/>
              </w:rPr>
            </w:pPr>
            <w:r>
              <w:rPr>
                <w:rFonts w:ascii="Arial" w:hAnsi="Arial" w:eastAsia="宋体" w:cs="Times New Roman"/>
                <w:b/>
                <w:sz w:val="11"/>
                <w:szCs w:val="13"/>
                <w:lang w:val="en-GB" w:eastAsia="ja-JP" w:bidi="ar-SA"/>
              </w:rPr>
              <w:t xml:space="preserve">Parent IE in TS </w:t>
            </w:r>
            <w:r>
              <w:rPr>
                <w:rFonts w:ascii="Arial" w:hAnsi="Arial" w:eastAsia="宋体" w:cs="Times New Roman"/>
                <w:sz w:val="11"/>
                <w:szCs w:val="13"/>
                <w:lang w:val="en-GB" w:eastAsia="ja-JP" w:bidi="ar-SA"/>
              </w:rPr>
              <w:t>38</w:t>
            </w:r>
            <w:r>
              <w:rPr>
                <w:rFonts w:ascii="Arial" w:hAnsi="Arial" w:eastAsia="宋体" w:cs="Times New Roman"/>
                <w:b/>
                <w:sz w:val="11"/>
                <w:szCs w:val="13"/>
                <w:lang w:val="en-GB" w:eastAsia="ja-JP" w:bidi="ar-SA"/>
              </w:rPr>
              <w:t>.331 [2]</w:t>
            </w:r>
          </w:p>
        </w:tc>
        <w:tc>
          <w:tcPr>
            <w:tcW w:w="383" w:type="pct"/>
          </w:tcPr>
          <w:p>
            <w:pPr>
              <w:pStyle w:val="73"/>
              <w:rPr>
                <w:sz w:val="11"/>
                <w:szCs w:val="13"/>
              </w:rPr>
            </w:pPr>
            <w:r>
              <w:rPr>
                <w:sz w:val="11"/>
                <w:szCs w:val="13"/>
              </w:rPr>
              <w:t>Need of FDD/TDD differentiation</w:t>
            </w:r>
          </w:p>
        </w:tc>
        <w:tc>
          <w:tcPr>
            <w:tcW w:w="431" w:type="pct"/>
          </w:tcPr>
          <w:p>
            <w:pPr>
              <w:pStyle w:val="73"/>
              <w:rPr>
                <w:sz w:val="11"/>
                <w:szCs w:val="13"/>
              </w:rPr>
            </w:pPr>
            <w:r>
              <w:rPr>
                <w:sz w:val="11"/>
                <w:szCs w:val="13"/>
              </w:rPr>
              <w:t>Need of FR1/FR2 differentiation</w:t>
            </w:r>
          </w:p>
        </w:tc>
        <w:tc>
          <w:tcPr>
            <w:tcW w:w="455" w:type="pct"/>
          </w:tcPr>
          <w:p>
            <w:pPr>
              <w:pStyle w:val="73"/>
              <w:rPr>
                <w:sz w:val="11"/>
                <w:szCs w:val="13"/>
              </w:rPr>
            </w:pPr>
            <w:r>
              <w:rPr>
                <w:sz w:val="11"/>
                <w:szCs w:val="13"/>
              </w:rPr>
              <w:t>Note</w:t>
            </w:r>
          </w:p>
        </w:tc>
        <w:tc>
          <w:tcPr>
            <w:tcW w:w="665" w:type="pct"/>
          </w:tcPr>
          <w:p>
            <w:pPr>
              <w:pStyle w:val="73"/>
              <w:rPr>
                <w:sz w:val="11"/>
                <w:szCs w:val="13"/>
              </w:rPr>
            </w:pPr>
            <w:r>
              <w:rPr>
                <w:sz w:val="11"/>
                <w:szCs w:val="13"/>
              </w:rPr>
              <w:t>Mandatory/Optional</w:t>
            </w:r>
          </w:p>
        </w:tc>
      </w:tr>
      <w:tr>
        <w:tblPrEx>
          <w:tblCellMar>
            <w:top w:w="0" w:type="dxa"/>
            <w:left w:w="108" w:type="dxa"/>
            <w:bottom w:w="0" w:type="dxa"/>
            <w:right w:w="108" w:type="dxa"/>
          </w:tblCellMar>
        </w:tblPrEx>
        <w:tc>
          <w:tcPr>
            <w:tcW w:w="342" w:type="pct"/>
          </w:tcPr>
          <w:p>
            <w:pPr>
              <w:pStyle w:val="73"/>
              <w:rPr>
                <w:sz w:val="11"/>
                <w:szCs w:val="13"/>
              </w:rPr>
            </w:pPr>
            <w:r>
              <w:rPr>
                <w:sz w:val="11"/>
                <w:szCs w:val="13"/>
              </w:rPr>
              <w:t>6. CA/DC, BWP, SUL</w:t>
            </w:r>
          </w:p>
        </w:tc>
        <w:tc>
          <w:tcPr>
            <w:tcW w:w="303" w:type="pct"/>
            <w:vAlign w:val="top"/>
          </w:tcPr>
          <w:p>
            <w:pPr>
              <w:pStyle w:val="75"/>
              <w:ind w:left="0" w:leftChars="0" w:firstLine="0" w:firstLineChars="0"/>
              <w:rPr>
                <w:rFonts w:ascii="Arial" w:hAnsi="Arial" w:eastAsia="宋体" w:cs="Times New Roman"/>
                <w:sz w:val="11"/>
                <w:szCs w:val="13"/>
                <w:lang w:val="en-GB" w:eastAsia="ja-JP" w:bidi="ar-SA"/>
              </w:rPr>
            </w:pPr>
            <w:r>
              <w:rPr>
                <w:sz w:val="11"/>
                <w:szCs w:val="13"/>
              </w:rPr>
              <w:t>6-1</w:t>
            </w:r>
          </w:p>
        </w:tc>
        <w:tc>
          <w:tcPr>
            <w:tcW w:w="302" w:type="pct"/>
            <w:vAlign w:val="top"/>
          </w:tcPr>
          <w:p>
            <w:pPr>
              <w:pStyle w:val="75"/>
              <w:ind w:left="0" w:leftChars="0" w:firstLine="0" w:firstLineChars="0"/>
              <w:rPr>
                <w:rFonts w:ascii="Arial" w:hAnsi="Arial" w:eastAsia="宋体" w:cs="Times New Roman"/>
                <w:sz w:val="11"/>
                <w:szCs w:val="13"/>
                <w:lang w:val="en-GB" w:eastAsia="ja-JP" w:bidi="ar-SA"/>
              </w:rPr>
            </w:pPr>
            <w:r>
              <w:rPr>
                <w:sz w:val="11"/>
                <w:szCs w:val="13"/>
              </w:rPr>
              <w:t>Basic BWP operation with restriction</w:t>
            </w:r>
          </w:p>
        </w:tc>
        <w:tc>
          <w:tcPr>
            <w:tcW w:w="677" w:type="pct"/>
            <w:vAlign w:val="top"/>
          </w:tcPr>
          <w:p>
            <w:pPr>
              <w:pStyle w:val="75"/>
              <w:rPr>
                <w:sz w:val="11"/>
                <w:szCs w:val="13"/>
              </w:rPr>
            </w:pPr>
            <w:r>
              <w:rPr>
                <w:sz w:val="11"/>
                <w:szCs w:val="13"/>
              </w:rPr>
              <w:t>1) 1 UE-specific RRC configured DL BWP per carrier</w:t>
            </w:r>
          </w:p>
          <w:p>
            <w:pPr>
              <w:pStyle w:val="75"/>
              <w:rPr>
                <w:sz w:val="11"/>
                <w:szCs w:val="13"/>
              </w:rPr>
            </w:pPr>
            <w:r>
              <w:rPr>
                <w:sz w:val="11"/>
                <w:szCs w:val="13"/>
              </w:rPr>
              <w:t>2) 1 UE-specific RRC configured UL BWP per carrier</w:t>
            </w:r>
          </w:p>
          <w:p>
            <w:pPr>
              <w:pStyle w:val="75"/>
              <w:rPr>
                <w:sz w:val="11"/>
                <w:szCs w:val="13"/>
              </w:rPr>
            </w:pPr>
            <w:r>
              <w:rPr>
                <w:sz w:val="11"/>
                <w:szCs w:val="13"/>
              </w:rPr>
              <w:t>3) RRC reconfiguration of any parameters related to BWP</w:t>
            </w:r>
          </w:p>
          <w:p>
            <w:pPr>
              <w:pStyle w:val="75"/>
              <w:ind w:left="0" w:leftChars="0" w:firstLine="0" w:firstLineChars="0"/>
              <w:rPr>
                <w:rFonts w:ascii="Arial" w:hAnsi="Arial" w:eastAsia="宋体" w:cs="Times New Roman"/>
                <w:sz w:val="11"/>
                <w:szCs w:val="13"/>
                <w:lang w:val="en-GB" w:eastAsia="ja-JP" w:bidi="ar-SA"/>
              </w:rPr>
            </w:pPr>
            <w:r>
              <w:rPr>
                <w:sz w:val="11"/>
                <w:szCs w:val="13"/>
              </w:rPr>
              <w:t>4) BW of a UE-specific RRC configured BWP includes BW of CORESET#0 (if CORESET#0 is present) and SSB for PCell/PSCell (if configured) and BW of the UE-specific RRC configured BWP includes SSB for SCell if there is SSB on SCell</w:t>
            </w:r>
          </w:p>
        </w:tc>
        <w:tc>
          <w:tcPr>
            <w:tcW w:w="371" w:type="pct"/>
            <w:vAlign w:val="top"/>
          </w:tcPr>
          <w:p>
            <w:pPr>
              <w:pStyle w:val="75"/>
              <w:ind w:left="0" w:leftChars="0" w:firstLine="0" w:firstLineChars="0"/>
              <w:rPr>
                <w:rFonts w:ascii="Arial" w:hAnsi="Arial" w:eastAsia="宋体" w:cs="Times New Roman"/>
                <w:sz w:val="11"/>
                <w:szCs w:val="13"/>
                <w:lang w:val="en-GB" w:eastAsia="ja-JP" w:bidi="ar-SA"/>
              </w:rPr>
            </w:pPr>
          </w:p>
        </w:tc>
        <w:tc>
          <w:tcPr>
            <w:tcW w:w="380" w:type="pct"/>
            <w:vAlign w:val="top"/>
          </w:tcPr>
          <w:p>
            <w:pPr>
              <w:pStyle w:val="75"/>
              <w:ind w:left="0" w:leftChars="0" w:firstLine="0" w:firstLineChars="0"/>
              <w:rPr>
                <w:rFonts w:ascii="Arial" w:hAnsi="Arial" w:eastAsia="宋体" w:cs="Times New Roman"/>
                <w:sz w:val="11"/>
                <w:szCs w:val="13"/>
                <w:lang w:val="en-GB" w:eastAsia="ja-JP" w:bidi="ar-SA"/>
              </w:rPr>
            </w:pPr>
            <w:r>
              <w:rPr>
                <w:sz w:val="11"/>
                <w:szCs w:val="13"/>
              </w:rPr>
              <w:t>n/a</w:t>
            </w:r>
          </w:p>
        </w:tc>
        <w:tc>
          <w:tcPr>
            <w:tcW w:w="684" w:type="pct"/>
            <w:vAlign w:val="top"/>
          </w:tcPr>
          <w:p>
            <w:pPr>
              <w:pStyle w:val="75"/>
              <w:ind w:left="0" w:leftChars="0" w:firstLine="0" w:firstLineChars="0"/>
              <w:rPr>
                <w:rFonts w:ascii="Arial" w:hAnsi="Arial" w:eastAsia="宋体" w:cs="Times New Roman"/>
                <w:sz w:val="11"/>
                <w:szCs w:val="13"/>
                <w:lang w:val="en-GB" w:eastAsia="ja-JP" w:bidi="ar-SA"/>
              </w:rPr>
            </w:pPr>
            <w:r>
              <w:rPr>
                <w:sz w:val="11"/>
                <w:szCs w:val="13"/>
              </w:rPr>
              <w:t>n/a</w:t>
            </w:r>
          </w:p>
        </w:tc>
        <w:tc>
          <w:tcPr>
            <w:tcW w:w="383" w:type="pct"/>
            <w:vAlign w:val="top"/>
          </w:tcPr>
          <w:p>
            <w:pPr>
              <w:pStyle w:val="75"/>
              <w:ind w:left="0" w:leftChars="0" w:firstLine="0" w:firstLineChars="0"/>
              <w:rPr>
                <w:rFonts w:ascii="Arial" w:hAnsi="Arial" w:eastAsia="宋体" w:cs="Times New Roman"/>
                <w:sz w:val="11"/>
                <w:szCs w:val="13"/>
                <w:lang w:val="en-GB" w:eastAsia="ja-JP" w:bidi="ar-SA"/>
              </w:rPr>
            </w:pPr>
            <w:r>
              <w:rPr>
                <w:sz w:val="11"/>
                <w:szCs w:val="13"/>
              </w:rPr>
              <w:t>n/a</w:t>
            </w:r>
          </w:p>
        </w:tc>
        <w:tc>
          <w:tcPr>
            <w:tcW w:w="431" w:type="pct"/>
            <w:vAlign w:val="top"/>
          </w:tcPr>
          <w:p>
            <w:pPr>
              <w:pStyle w:val="75"/>
              <w:ind w:left="0" w:leftChars="0" w:firstLine="0" w:firstLineChars="0"/>
              <w:rPr>
                <w:rFonts w:ascii="Arial" w:hAnsi="Arial" w:eastAsia="宋体" w:cs="Times New Roman"/>
                <w:sz w:val="11"/>
                <w:szCs w:val="13"/>
                <w:lang w:val="en-GB" w:eastAsia="ja-JP" w:bidi="ar-SA"/>
              </w:rPr>
            </w:pPr>
            <w:r>
              <w:rPr>
                <w:sz w:val="11"/>
                <w:szCs w:val="13"/>
              </w:rPr>
              <w:t>n/a</w:t>
            </w:r>
          </w:p>
        </w:tc>
        <w:tc>
          <w:tcPr>
            <w:tcW w:w="455" w:type="pct"/>
            <w:vAlign w:val="top"/>
          </w:tcPr>
          <w:p>
            <w:pPr>
              <w:pStyle w:val="75"/>
              <w:rPr>
                <w:sz w:val="11"/>
                <w:szCs w:val="13"/>
              </w:rPr>
            </w:pPr>
            <w:r>
              <w:rPr>
                <w:sz w:val="11"/>
                <w:szCs w:val="13"/>
              </w:rPr>
              <w:t>This feature should be mandatory without capability signalling for at least BWPs which is the same as the set of specified channel BW</w:t>
            </w:r>
          </w:p>
          <w:p>
            <w:pPr>
              <w:pStyle w:val="75"/>
              <w:rPr>
                <w:sz w:val="11"/>
                <w:szCs w:val="13"/>
              </w:rPr>
            </w:pPr>
          </w:p>
          <w:p>
            <w:pPr>
              <w:pStyle w:val="75"/>
              <w:ind w:left="0" w:leftChars="0" w:firstLine="0" w:firstLineChars="0"/>
              <w:rPr>
                <w:rFonts w:ascii="Arial" w:hAnsi="Arial" w:eastAsia="宋体" w:cs="Times New Roman"/>
                <w:sz w:val="11"/>
                <w:szCs w:val="13"/>
                <w:lang w:val="en-GB" w:eastAsia="ja-JP" w:bidi="ar-SA"/>
              </w:rPr>
            </w:pPr>
            <w:r>
              <w:rPr>
                <w:sz w:val="11"/>
                <w:szCs w:val="13"/>
              </w:rPr>
              <w:t>UE-specific RRC configured DL/UL BWP can have the same or different numerology from the initial active DL/UL BWP</w:t>
            </w:r>
          </w:p>
        </w:tc>
        <w:tc>
          <w:tcPr>
            <w:tcW w:w="665" w:type="pct"/>
            <w:vAlign w:val="top"/>
          </w:tcPr>
          <w:p>
            <w:pPr>
              <w:pStyle w:val="75"/>
              <w:ind w:left="0" w:leftChars="0" w:firstLine="0" w:firstLineChars="0"/>
              <w:rPr>
                <w:rFonts w:ascii="Arial" w:hAnsi="Arial" w:eastAsia="宋体" w:cs="Times New Roman"/>
                <w:sz w:val="11"/>
                <w:szCs w:val="13"/>
                <w:lang w:val="en-GB" w:eastAsia="ja-JP" w:bidi="ar-SA"/>
              </w:rPr>
            </w:pPr>
            <w:r>
              <w:rPr>
                <w:sz w:val="11"/>
                <w:szCs w:val="13"/>
              </w:rPr>
              <w:t>Mandatory without capability signalling</w:t>
            </w:r>
          </w:p>
        </w:tc>
      </w:tr>
    </w:tbl>
    <w:p>
      <w:pPr>
        <w:rPr>
          <w:rFonts w:hint="default"/>
          <w:b w:val="0"/>
          <w:bCs w:val="0"/>
          <w:lang w:val="en-US" w:eastAsia="zh-CN"/>
        </w:rPr>
      </w:pPr>
      <w:r>
        <w:rPr>
          <w:rFonts w:hint="default"/>
          <w:b w:val="0"/>
          <w:bCs w:val="0"/>
          <w:lang w:val="en-US" w:eastAsia="zh-CN"/>
        </w:rPr>
        <w:t>With FG 6-1, UE can perform RLM/BFD/beam management and RRM measurement based on SSB in the active BWP. When UE can support FG 6-1a, and it is configured with BWP that does not include SSB, according to the LS from RAN2, a UE can only perform RLM/BFD/beam management based on CSI-RS[2], and RRM measurement can be based on SSB outside the BWP or CSI-RS with associated SSB if UE supports such capability, retuning may be required for RRM measurement. The concern of support FG6-1a is that such operation will increase UE complexity.</w:t>
      </w:r>
    </w:p>
    <w:p>
      <w:pPr>
        <w:rPr>
          <w:rFonts w:hint="default"/>
          <w:b w:val="0"/>
          <w:bCs w:val="0"/>
          <w:lang w:val="en-US" w:eastAsia="zh-CN"/>
        </w:rPr>
      </w:pPr>
      <w:r>
        <w:rPr>
          <w:rFonts w:hint="default"/>
          <w:b w:val="0"/>
          <w:bCs w:val="0"/>
          <w:lang w:val="en-US" w:eastAsia="zh-CN"/>
        </w:rPr>
        <w:t xml:space="preserve">On the other hand, mandating each BWP with SSB will increase the network overhead, especially when traffic offloading is required and gNB has to configure multiple FDMed BWP for R17 RedCap UEs. </w:t>
      </w:r>
    </w:p>
    <w:p>
      <w:pPr>
        <w:rPr>
          <w:rFonts w:hint="default"/>
          <w:b w:val="0"/>
          <w:bCs w:val="0"/>
          <w:lang w:val="en-US" w:eastAsia="zh-CN"/>
        </w:rPr>
      </w:pPr>
      <w:r>
        <w:rPr>
          <w:rFonts w:hint="default"/>
          <w:b w:val="0"/>
          <w:bCs w:val="0"/>
          <w:lang w:val="en-US" w:eastAsia="zh-CN"/>
        </w:rPr>
        <w:t>For R17 RedCap UEs, the legacy default capability FG 6-1 is inherited, which means for UEs without optional capability FG 6-1a, gNB can only configure BWPs to include CD-SSB, or configure NCD-SSB for BWPs that does not include CD-SSB. And UE can optionally support FG 6-1a, which remove the constraint of SSB for BWP.</w:t>
      </w:r>
    </w:p>
    <w:p>
      <w:pPr>
        <w:rPr>
          <w:rFonts w:hint="default"/>
          <w:b w:val="0"/>
          <w:bCs w:val="0"/>
          <w:lang w:val="en-US" w:eastAsia="zh-CN"/>
        </w:rPr>
      </w:pPr>
      <w:r>
        <w:rPr>
          <w:rFonts w:hint="default"/>
          <w:b w:val="0"/>
          <w:bCs w:val="0"/>
          <w:lang w:val="en-US" w:eastAsia="zh-CN"/>
        </w:rPr>
        <w:t>For R18 RedCap UEs, with further reduction of UE complexity, such as UE bandwidth reduction to 5MHz, the situation may be changed.</w:t>
      </w:r>
    </w:p>
    <w:p>
      <w:pPr>
        <w:rPr>
          <w:rFonts w:hint="default"/>
          <w:b w:val="0"/>
          <w:bCs w:val="0"/>
          <w:lang w:val="en-US" w:eastAsia="zh-CN"/>
        </w:rPr>
      </w:pPr>
      <w:r>
        <w:rPr>
          <w:rFonts w:hint="default"/>
          <w:b w:val="0"/>
          <w:bCs w:val="0"/>
          <w:lang w:val="en-US" w:eastAsia="zh-CN"/>
        </w:rPr>
        <w:t>If FG6-1 is the mandatory UE feature for UEs with maximum bandwidth of 5MHZ,</w:t>
      </w:r>
    </w:p>
    <w:p>
      <w:pPr>
        <w:numPr>
          <w:ilvl w:val="0"/>
          <w:numId w:val="9"/>
        </w:numPr>
        <w:ind w:left="425" w:leftChars="0" w:hanging="425" w:firstLineChars="0"/>
        <w:rPr>
          <w:rFonts w:hint="default"/>
          <w:b w:val="0"/>
          <w:bCs w:val="0"/>
          <w:lang w:val="en-US" w:eastAsia="zh-CN"/>
        </w:rPr>
      </w:pPr>
      <w:r>
        <w:rPr>
          <w:rFonts w:hint="default"/>
          <w:b w:val="0"/>
          <w:bCs w:val="0"/>
          <w:lang w:val="en-US" w:eastAsia="zh-CN"/>
        </w:rPr>
        <w:t>For UE with FG 6-1 but not FG6-1a, the available resources will be further reduced due to SSB in its active BWP.</w:t>
      </w:r>
    </w:p>
    <w:p>
      <w:pPr>
        <w:numPr>
          <w:ilvl w:val="0"/>
          <w:numId w:val="0"/>
        </w:numPr>
        <w:rPr>
          <w:rFonts w:hint="default"/>
          <w:b w:val="0"/>
          <w:bCs w:val="0"/>
          <w:lang w:val="en-US" w:eastAsia="zh-CN"/>
        </w:rPr>
      </w:pPr>
      <w:r>
        <w:rPr>
          <w:rFonts w:hint="default"/>
          <w:b w:val="0"/>
          <w:bCs w:val="0"/>
          <w:lang w:val="en-US" w:eastAsia="zh-CN"/>
        </w:rPr>
        <w:t xml:space="preserve">As shown in table 2, the overhead of one beam SSB for different channel bandwidths is calculated. Since SSB with SCS 30KHz will have a bandwidth 7.2MHz, which is larger than 5MHz, we only calculate SSB overhead with 15KHz SCS, and FDD is considered here. For an active BWP with 25RB, the overhead of one beam SSB will be 1.14% for FDD(for TDD, the overhead will be increased). Considering the CORESET overhead(such as 3 symbols to support high AL) and the overhead of other RS such as CSI-RS, if SSB is always transmitted in the active BWP, the available resource for data transmission will be further reduced. </w:t>
      </w:r>
    </w:p>
    <w:p>
      <w:pPr>
        <w:numPr>
          <w:ilvl w:val="0"/>
          <w:numId w:val="0"/>
        </w:numPr>
        <w:ind w:leftChars="0"/>
        <w:jc w:val="center"/>
        <w:rPr>
          <w:rFonts w:hint="default" w:cs="Times New Roman"/>
          <w:lang w:val="en-US" w:eastAsia="zh-CN"/>
        </w:rPr>
      </w:pPr>
      <w:r>
        <w:rPr>
          <w:rFonts w:hint="default" w:cs="Times New Roman"/>
          <w:lang w:val="en-US" w:eastAsia="zh-CN"/>
        </w:rPr>
        <w:t>Table 2. SSB overhead for different channel bandwidths with SCS=15KHz</w:t>
      </w:r>
    </w:p>
    <w:tbl>
      <w:tblPr>
        <w:tblStyle w:val="49"/>
        <w:tblW w:w="70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110"/>
        <w:gridCol w:w="1455"/>
        <w:gridCol w:w="1515"/>
        <w:gridCol w:w="15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6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rPr>
            </w:pPr>
            <w:r>
              <w:rPr>
                <w:rFonts w:hint="default" w:ascii="Times New Roman" w:hAnsi="Times New Roman" w:eastAsia="等线" w:cs="Times New Roman"/>
                <w:i w:val="0"/>
                <w:iCs w:val="0"/>
                <w:color w:val="000000"/>
                <w:sz w:val="20"/>
                <w:szCs w:val="20"/>
                <w:u w:val="none"/>
                <w:lang w:val="en-US"/>
              </w:rPr>
              <w:t>SSB overhead for FDD</w:t>
            </w:r>
          </w:p>
        </w:tc>
        <w:tc>
          <w:tcPr>
            <w:tcW w:w="145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rPr>
            </w:pPr>
            <w:r>
              <w:rPr>
                <w:rFonts w:hint="default" w:ascii="Times New Roman" w:hAnsi="Times New Roman" w:eastAsia="等线" w:cs="Times New Roman"/>
                <w:i w:val="0"/>
                <w:iCs w:val="0"/>
                <w:color w:val="000000"/>
                <w:kern w:val="0"/>
                <w:sz w:val="20"/>
                <w:szCs w:val="20"/>
                <w:u w:val="none"/>
                <w:lang w:val="en-US" w:eastAsia="zh-CN" w:bidi="ar"/>
              </w:rPr>
              <w:t>5MHz(25RB)</w:t>
            </w:r>
          </w:p>
        </w:tc>
        <w:tc>
          <w:tcPr>
            <w:tcW w:w="151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rPr>
            </w:pPr>
            <w:r>
              <w:rPr>
                <w:rFonts w:hint="default" w:ascii="Times New Roman" w:hAnsi="Times New Roman" w:eastAsia="等线" w:cs="Times New Roman"/>
                <w:i w:val="0"/>
                <w:iCs w:val="0"/>
                <w:color w:val="000000"/>
                <w:kern w:val="0"/>
                <w:sz w:val="20"/>
                <w:szCs w:val="20"/>
                <w:u w:val="none"/>
                <w:lang w:val="en-US" w:eastAsia="zh-CN" w:bidi="ar"/>
              </w:rPr>
              <w:t>15MHz(79RB)</w:t>
            </w:r>
          </w:p>
        </w:tc>
        <w:tc>
          <w:tcPr>
            <w:tcW w:w="151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rPr>
            </w:pPr>
            <w:r>
              <w:rPr>
                <w:rFonts w:hint="default" w:ascii="Times New Roman" w:hAnsi="Times New Roman" w:eastAsia="等线" w:cs="Times New Roman"/>
                <w:i w:val="0"/>
                <w:iCs w:val="0"/>
                <w:color w:val="000000"/>
                <w:kern w:val="0"/>
                <w:sz w:val="20"/>
                <w:szCs w:val="20"/>
                <w:u w:val="none"/>
                <w:lang w:val="en-US" w:eastAsia="zh-CN" w:bidi="ar"/>
              </w:rPr>
              <w:t>40MHz(216RB)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rPr>
            </w:pPr>
            <w:r>
              <w:rPr>
                <w:rFonts w:hint="default" w:ascii="Times New Roman" w:hAnsi="Times New Roman" w:eastAsia="等线" w:cs="Times New Roman"/>
                <w:i w:val="0"/>
                <w:iCs w:val="0"/>
                <w:color w:val="000000"/>
                <w:kern w:val="0"/>
                <w:sz w:val="20"/>
                <w:szCs w:val="20"/>
                <w:u w:val="none"/>
                <w:lang w:val="en-US" w:eastAsia="zh-CN" w:bidi="ar"/>
              </w:rPr>
              <w:t>Number of DL REs per 20ms</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84000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265440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715680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Number of SSB REs per 20ms</w:t>
            </w:r>
          </w:p>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rPr>
            </w:pPr>
            <w:r>
              <w:rPr>
                <w:rFonts w:hint="default" w:ascii="Times New Roman" w:hAnsi="Times New Roman" w:eastAsia="等线" w:cs="Times New Roman"/>
                <w:i w:val="0"/>
                <w:iCs w:val="0"/>
                <w:color w:val="000000"/>
                <w:kern w:val="0"/>
                <w:sz w:val="20"/>
                <w:szCs w:val="20"/>
                <w:u w:val="none"/>
                <w:lang w:val="en-US" w:eastAsia="zh-CN" w:bidi="ar"/>
              </w:rPr>
              <w:t>(single beam)</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960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960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rPr>
            </w:pPr>
            <w:r>
              <w:rPr>
                <w:rFonts w:hint="default" w:ascii="Times New Roman" w:hAnsi="Times New Roman" w:eastAsia="等线" w:cs="Times New Roman"/>
                <w:i w:val="0"/>
                <w:iCs w:val="0"/>
                <w:color w:val="000000"/>
                <w:sz w:val="20"/>
                <w:szCs w:val="20"/>
                <w:u w:val="none"/>
                <w:lang w:val="en-US"/>
              </w:rPr>
              <w:t>Overhead ratio for single beam SSB</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rPr>
            </w:pPr>
            <w:r>
              <w:rPr>
                <w:rFonts w:hint="default" w:ascii="Times New Roman" w:hAnsi="Times New Roman" w:eastAsia="等线" w:cs="Times New Roman"/>
                <w:i w:val="0"/>
                <w:iCs w:val="0"/>
                <w:color w:val="000000"/>
                <w:kern w:val="0"/>
                <w:sz w:val="20"/>
                <w:szCs w:val="20"/>
                <w:u w:val="none"/>
                <w:lang w:val="en-US" w:eastAsia="zh-CN" w:bidi="ar"/>
              </w:rPr>
              <w:t>1.14%</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0.36%</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0.13%</w:t>
            </w:r>
          </w:p>
        </w:tc>
      </w:tr>
    </w:tbl>
    <w:p>
      <w:pPr>
        <w:numPr>
          <w:ilvl w:val="0"/>
          <w:numId w:val="9"/>
        </w:numPr>
        <w:ind w:left="425" w:leftChars="0" w:hanging="425" w:firstLineChars="0"/>
        <w:rPr>
          <w:rFonts w:hint="default"/>
          <w:b w:val="0"/>
          <w:bCs w:val="0"/>
          <w:lang w:val="en-US" w:eastAsia="zh-CN"/>
        </w:rPr>
      </w:pPr>
      <w:r>
        <w:rPr>
          <w:rFonts w:hint="default"/>
          <w:b w:val="0"/>
          <w:bCs w:val="0"/>
          <w:lang w:val="en-US" w:eastAsia="zh-CN"/>
        </w:rPr>
        <w:t>For network, the overhead will be increased with the number of FDMed SSBs.</w:t>
      </w:r>
    </w:p>
    <w:p>
      <w:pPr>
        <w:numPr>
          <w:ilvl w:val="0"/>
          <w:numId w:val="0"/>
        </w:numPr>
        <w:rPr>
          <w:rFonts w:hint="default"/>
          <w:b w:val="0"/>
          <w:bCs w:val="0"/>
          <w:lang w:val="en-US" w:eastAsia="zh-CN"/>
        </w:rPr>
      </w:pPr>
      <w:r>
        <w:rPr>
          <w:rFonts w:hint="default"/>
          <w:b w:val="0"/>
          <w:bCs w:val="0"/>
          <w:lang w:val="en-US" w:eastAsia="zh-CN"/>
        </w:rPr>
        <w:t>If the R18 RedCap UEs share same CORESET#0 defined initial DL BWP with legacy UEs, the bandwidth of shared CORESET#0 will be limited to be smaller than 5MHz. This shared initial DL BWP will carry the following information,</w:t>
      </w:r>
    </w:p>
    <w:p>
      <w:pPr>
        <w:numPr>
          <w:ilvl w:val="0"/>
          <w:numId w:val="10"/>
        </w:numPr>
        <w:ind w:left="840" w:leftChars="0" w:hanging="420" w:firstLineChars="0"/>
        <w:rPr>
          <w:rFonts w:hint="default"/>
          <w:b w:val="0"/>
          <w:bCs w:val="0"/>
          <w:lang w:val="en-US" w:eastAsia="zh-CN"/>
        </w:rPr>
      </w:pPr>
      <w:r>
        <w:rPr>
          <w:rFonts w:hint="default"/>
          <w:b w:val="0"/>
          <w:bCs w:val="0"/>
          <w:lang w:val="en-US" w:eastAsia="zh-CN"/>
        </w:rPr>
        <w:t>SSB. With a 24RBs bandwidth, a one beam SSB overhead is 960RE/(24*12*14RE/slot * 20slots)=1.2%.</w:t>
      </w:r>
    </w:p>
    <w:p>
      <w:pPr>
        <w:numPr>
          <w:ilvl w:val="0"/>
          <w:numId w:val="10"/>
        </w:numPr>
        <w:ind w:left="840" w:leftChars="0" w:hanging="420" w:firstLineChars="0"/>
        <w:rPr>
          <w:rFonts w:hint="default"/>
          <w:b w:val="0"/>
          <w:bCs w:val="0"/>
          <w:lang w:val="en-US" w:eastAsia="zh-CN"/>
        </w:rPr>
      </w:pPr>
      <w:r>
        <w:rPr>
          <w:rFonts w:hint="default"/>
          <w:b w:val="0"/>
          <w:bCs w:val="0"/>
          <w:lang w:val="en-US" w:eastAsia="zh-CN"/>
        </w:rPr>
        <w:t>SIB1. According to RAN2 spec TS 38.331, the maximum SIB1 or SI message size is 2976 bits, and only QPSK modulation is supported. There are 9 MCS indexes with QPSK for MCS index table 1, and supposing MCS index 3 with spectral efficiency 0.4902 is used for SIB1 transmission, with 2976bits, at least 6071 REs are required, then the SIB1 transmission will occupy 42RBs (here a 2symbols CORESET is supposed, then only 144RE per RB left for PDSCH transmission), more than the RBs of 5MHz CORESET. So even with a smaller SIB1 message, and only one beam SSB is used, the SIB1 transmission will consume almost the whole slot. Therefore the SIB1 overhead for initial DL BWP will be around 1/20 = 5%, that is at least one slot is used for SIB1 transmission per 20ms.</w:t>
      </w:r>
    </w:p>
    <w:p>
      <w:pPr>
        <w:numPr>
          <w:ilvl w:val="0"/>
          <w:numId w:val="10"/>
        </w:numPr>
        <w:ind w:left="840" w:leftChars="0" w:hanging="420" w:firstLineChars="0"/>
        <w:rPr>
          <w:rFonts w:hint="default"/>
          <w:b w:val="0"/>
          <w:bCs w:val="0"/>
          <w:lang w:val="en-US" w:eastAsia="zh-CN"/>
        </w:rPr>
      </w:pPr>
      <w:r>
        <w:rPr>
          <w:rFonts w:hint="default"/>
          <w:b w:val="0"/>
          <w:bCs w:val="0"/>
          <w:lang w:val="en-US" w:eastAsia="zh-CN"/>
        </w:rPr>
        <w:t>Paging. The overhead of paging depends on paging rate.</w:t>
      </w:r>
    </w:p>
    <w:p>
      <w:pPr>
        <w:numPr>
          <w:ilvl w:val="0"/>
          <w:numId w:val="10"/>
        </w:numPr>
        <w:ind w:left="840" w:leftChars="0" w:hanging="420" w:firstLineChars="0"/>
        <w:rPr>
          <w:rFonts w:hint="default"/>
          <w:b w:val="0"/>
          <w:bCs w:val="0"/>
          <w:lang w:val="en-US" w:eastAsia="zh-CN"/>
        </w:rPr>
      </w:pPr>
      <w:r>
        <w:rPr>
          <w:rFonts w:hint="default"/>
          <w:b w:val="0"/>
          <w:bCs w:val="0"/>
          <w:lang w:val="en-US" w:eastAsia="zh-CN"/>
        </w:rPr>
        <w:t>Downlink transmission of RACH procedure.</w:t>
      </w:r>
    </w:p>
    <w:p>
      <w:pPr>
        <w:numPr>
          <w:ilvl w:val="0"/>
          <w:numId w:val="10"/>
        </w:numPr>
        <w:ind w:left="840" w:leftChars="0" w:hanging="420" w:firstLineChars="0"/>
        <w:rPr>
          <w:rFonts w:hint="default"/>
          <w:b w:val="0"/>
          <w:bCs w:val="0"/>
          <w:lang w:val="en-US" w:eastAsia="zh-CN"/>
        </w:rPr>
      </w:pPr>
      <w:r>
        <w:rPr>
          <w:rFonts w:hint="default"/>
          <w:b w:val="0"/>
          <w:bCs w:val="0"/>
          <w:lang w:val="en-US" w:eastAsia="zh-CN"/>
        </w:rPr>
        <w:t>Data scheduling before RRC connection.</w:t>
      </w:r>
    </w:p>
    <w:p>
      <w:pPr>
        <w:numPr>
          <w:ilvl w:val="0"/>
          <w:numId w:val="0"/>
        </w:numPr>
        <w:rPr>
          <w:rFonts w:hint="default"/>
          <w:b w:val="0"/>
          <w:bCs w:val="0"/>
          <w:lang w:val="en-US" w:eastAsia="zh-CN"/>
        </w:rPr>
      </w:pPr>
      <w:r>
        <w:rPr>
          <w:rFonts w:hint="default"/>
          <w:b w:val="0"/>
          <w:bCs w:val="0"/>
          <w:lang w:val="en-US" w:eastAsia="zh-CN"/>
        </w:rPr>
        <w:t>So the shared initial DL BWP will be crowed with increased number of served UEs. To realize traffic offloading, BWPs that does not include CD-SSB and CORESET#0 will be configured for R18 RedCap UEs, and if they do not support FG 6-1a, NCD-SSB will be configured for such BWP. Supposing SIB1 is shared and within 24RB, the overhead of one beam SIB1 will be 24RB/79RB/20=1.5%, when the total overhead of SSB and SIB1 for a carrier with channel bandwidth 15MHz will be 1.5%+0.36%+N*0.36%, where N is the number of NCD-SSBs configured for BWPs without CD-SSB. If separate SIB1 is transmitted due to larger CORESET#0 bandwidth than 5MHz, the overhead will be increased.</w:t>
      </w:r>
    </w:p>
    <w:p>
      <w:pPr>
        <w:numPr>
          <w:ilvl w:val="0"/>
          <w:numId w:val="0"/>
        </w:numPr>
        <w:ind w:leftChars="0"/>
        <w:rPr>
          <w:rFonts w:hint="default" w:cs="Times New Roman"/>
          <w:b/>
          <w:bCs/>
          <w:lang w:val="en-US" w:eastAsia="zh-CN"/>
        </w:rPr>
      </w:pPr>
      <w:r>
        <w:rPr>
          <w:rFonts w:hint="default" w:cs="Times New Roman"/>
          <w:b/>
          <w:bCs/>
          <w:lang w:val="en-US" w:eastAsia="zh-CN"/>
        </w:rPr>
        <w:t xml:space="preserve">Observation : If </w:t>
      </w:r>
      <w:r>
        <w:rPr>
          <w:rFonts w:hint="default"/>
          <w:b/>
          <w:bCs/>
          <w:lang w:val="en-US" w:eastAsia="zh-CN"/>
        </w:rPr>
        <w:t xml:space="preserve">FG6-1 not FG 6-1a is the mandatory UE feature for UEs with maximum bandwidth of 5MHZ, </w:t>
      </w:r>
      <w:r>
        <w:rPr>
          <w:rFonts w:hint="default" w:cs="Times New Roman"/>
          <w:b/>
          <w:bCs/>
          <w:lang w:val="en-US" w:eastAsia="zh-CN"/>
        </w:rPr>
        <w:t xml:space="preserve">the overhead will be more significant for FDD bands with smaller channel bandwidth. </w:t>
      </w:r>
    </w:p>
    <w:p>
      <w:pPr>
        <w:numPr>
          <w:ilvl w:val="0"/>
          <w:numId w:val="0"/>
        </w:numPr>
        <w:ind w:leftChars="0"/>
        <w:rPr>
          <w:rFonts w:hint="default"/>
          <w:b w:val="0"/>
          <w:bCs w:val="0"/>
          <w:lang w:val="en-US" w:eastAsia="zh-CN"/>
        </w:rPr>
      </w:pPr>
      <w:r>
        <w:rPr>
          <w:rFonts w:hint="default" w:cs="Times New Roman"/>
          <w:b w:val="0"/>
          <w:bCs w:val="0"/>
          <w:lang w:val="en-US" w:eastAsia="zh-CN"/>
        </w:rPr>
        <w:t xml:space="preserve">While for reduced date peak rate with </w:t>
      </w:r>
      <w:r>
        <w:rPr>
          <w:lang w:eastAsia="ja-JP"/>
        </w:rPr>
        <w:t>restricted bandwidth for PDSCH and/or PUSCH</w:t>
      </w:r>
      <w:r>
        <w:rPr>
          <w:rFonts w:hint="default"/>
          <w:lang w:val="en-US" w:eastAsia="ja-JP"/>
        </w:rPr>
        <w:t xml:space="preserve">, there is no such problem. Since for a FDD band with channel bandwidth smaller than 20MHz, RedCap UEs with reduced peak data rate does not need to re-tune for SSB. So if </w:t>
      </w:r>
      <w:r>
        <w:rPr>
          <w:rFonts w:hint="default"/>
          <w:b w:val="0"/>
          <w:bCs w:val="0"/>
          <w:lang w:val="en-US" w:eastAsia="zh-CN"/>
        </w:rPr>
        <w:t>UEs with maximum bandwidth of 5MHz is introduced, support FG 6-1a as mandatory UE feature is preferred.</w:t>
      </w:r>
    </w:p>
    <w:p>
      <w:pPr>
        <w:numPr>
          <w:ilvl w:val="0"/>
          <w:numId w:val="0"/>
        </w:numPr>
        <w:ind w:leftChars="0"/>
        <w:rPr>
          <w:rFonts w:hint="default" w:cs="Times New Roman"/>
          <w:lang w:val="en-US" w:eastAsia="zh-CN"/>
        </w:rPr>
      </w:pPr>
      <w:r>
        <w:rPr>
          <w:rFonts w:hint="default"/>
          <w:b/>
          <w:bCs/>
          <w:lang w:val="en-US" w:eastAsia="zh-CN"/>
        </w:rPr>
        <w:t>Proposal 1: I</w:t>
      </w:r>
      <w:r>
        <w:rPr>
          <w:rFonts w:hint="default"/>
          <w:b/>
          <w:bCs/>
          <w:lang w:val="en-US" w:eastAsia="ja-JP"/>
        </w:rPr>
        <w:t xml:space="preserve">f </w:t>
      </w:r>
      <w:r>
        <w:rPr>
          <w:rFonts w:hint="default"/>
          <w:b/>
          <w:bCs/>
          <w:lang w:val="en-US" w:eastAsia="zh-CN"/>
        </w:rPr>
        <w:t>UEs with maximum bandwidth of 5MHz is introduced, support FG 6-1a as mandatory UE feature.</w:t>
      </w:r>
      <w:r>
        <w:rPr>
          <w:rFonts w:hint="default"/>
          <w:b/>
          <w:bCs/>
          <w:lang w:val="en-US"/>
        </w:rPr>
        <w:t xml:space="preserve"> </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rFonts w:hint="default"/>
          <w:lang w:val="en-US" w:eastAsia="zh-CN"/>
        </w:rPr>
      </w:pPr>
      <w:r>
        <w:t xml:space="preserve">In this contribution, </w:t>
      </w:r>
      <w:r>
        <w:rPr>
          <w:rFonts w:hint="default"/>
          <w:lang w:val="en-US"/>
        </w:rPr>
        <w:t xml:space="preserve">we share our consideration on network overhead impact for </w:t>
      </w:r>
      <w:r>
        <w:rPr>
          <w:lang w:eastAsia="ja-JP"/>
        </w:rPr>
        <w:t>UE bandwidth reduction to 5MHz</w:t>
      </w:r>
      <w:r>
        <w:rPr>
          <w:lang w:eastAsia="zh-CN"/>
        </w:rPr>
        <w:t>,</w:t>
      </w:r>
      <w:r>
        <w:rPr>
          <w:rFonts w:hint="default"/>
          <w:lang w:val="en-US" w:eastAsia="zh-CN"/>
        </w:rPr>
        <w:t xml:space="preserve"> the following observation and proposal are made,</w:t>
      </w:r>
    </w:p>
    <w:p>
      <w:pPr>
        <w:rPr>
          <w:rFonts w:hint="eastAsia"/>
          <w:b/>
          <w:bCs/>
          <w:i w:val="0"/>
          <w:iCs w:val="0"/>
          <w:lang w:val="en-US" w:eastAsia="zh-CN"/>
        </w:rPr>
      </w:pPr>
      <w:r>
        <w:rPr>
          <w:rFonts w:hint="default" w:cs="Times New Roman"/>
          <w:b/>
          <w:bCs/>
          <w:lang w:val="en-US" w:eastAsia="zh-CN"/>
        </w:rPr>
        <w:t xml:space="preserve">Observation : If </w:t>
      </w:r>
      <w:r>
        <w:rPr>
          <w:rFonts w:hint="default"/>
          <w:b/>
          <w:bCs/>
          <w:lang w:val="en-US" w:eastAsia="zh-CN"/>
        </w:rPr>
        <w:t xml:space="preserve">FG6-1 not FG 6-1a is the mandatory UE feature for UEs with maximum bandwidth of 5MHZ, </w:t>
      </w:r>
      <w:r>
        <w:rPr>
          <w:rFonts w:hint="default" w:cs="Times New Roman"/>
          <w:b/>
          <w:bCs/>
          <w:lang w:val="en-US" w:eastAsia="zh-CN"/>
        </w:rPr>
        <w:t>the overhead will be more significant for FDD bands with smaller channel bandwidth.</w:t>
      </w:r>
    </w:p>
    <w:p>
      <w:pPr>
        <w:numPr>
          <w:ilvl w:val="0"/>
          <w:numId w:val="0"/>
        </w:numPr>
        <w:rPr>
          <w:rFonts w:hint="default" w:ascii="Times New Roman" w:hAnsi="Times New Roman" w:eastAsia="MS Mincho" w:cs="Times New Roman"/>
          <w:b/>
          <w:bCs/>
          <w:lang w:val="en-US" w:eastAsia="zh-CN" w:bidi="ar-SA"/>
        </w:rPr>
      </w:pPr>
      <w:r>
        <w:rPr>
          <w:rFonts w:hint="default"/>
          <w:b/>
          <w:bCs/>
          <w:lang w:val="en-US" w:eastAsia="zh-CN"/>
        </w:rPr>
        <w:t>Proposal 1: I</w:t>
      </w:r>
      <w:r>
        <w:rPr>
          <w:rFonts w:hint="default"/>
          <w:b/>
          <w:bCs/>
          <w:lang w:val="en-US" w:eastAsia="ja-JP"/>
        </w:rPr>
        <w:t xml:space="preserve">f </w:t>
      </w:r>
      <w:r>
        <w:rPr>
          <w:rFonts w:hint="default"/>
          <w:b/>
          <w:bCs/>
          <w:lang w:val="en-US" w:eastAsia="zh-CN"/>
        </w:rPr>
        <w:t>UEs with maximum bandwidth of 5MHz is introduced, support FG 6-1a as mandatory UE feature</w:t>
      </w:r>
      <w:r>
        <w:rPr>
          <w:rFonts w:hint="default"/>
          <w:b/>
          <w:bCs/>
          <w:lang w:val="en-US"/>
        </w:rPr>
        <w:t>.</w:t>
      </w:r>
      <w:bookmarkStart w:id="5" w:name="_GoBack"/>
      <w:bookmarkEnd w:id="5"/>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1"/>
        </w:numPr>
        <w:outlineLvl w:val="0"/>
        <w:rPr>
          <w:rFonts w:hint="eastAsia"/>
          <w:lang w:val="en-US" w:eastAsia="zh-CN"/>
        </w:rPr>
      </w:pPr>
      <w:r>
        <w:rPr>
          <w:rFonts w:hint="eastAsia"/>
          <w:lang w:val="en-US"/>
        </w:rPr>
        <w:t>RP-213661</w:t>
      </w:r>
      <w:r>
        <w:rPr>
          <w:rFonts w:hint="eastAsia"/>
          <w:lang w:val="en-US" w:eastAsia="zh-CN"/>
        </w:rPr>
        <w:t>, New SID on Study on further NR RedCap UE complexity reduction.</w:t>
      </w:r>
    </w:p>
    <w:p>
      <w:pPr>
        <w:numPr>
          <w:ilvl w:val="0"/>
          <w:numId w:val="11"/>
        </w:numPr>
        <w:outlineLvl w:val="0"/>
        <w:rPr>
          <w:rFonts w:hint="eastAsia"/>
          <w:lang w:val="en-US" w:eastAsia="zh-CN"/>
        </w:rPr>
      </w:pPr>
      <w:r>
        <w:rPr>
          <w:rFonts w:hint="eastAsia"/>
          <w:lang w:val="en-US" w:eastAsia="zh-CN"/>
        </w:rPr>
        <w:t>R1-2203043</w:t>
      </w:r>
      <w:r>
        <w:rPr>
          <w:rFonts w:hint="default"/>
          <w:lang w:val="en-US" w:eastAsia="zh-CN"/>
        </w:rPr>
        <w:t xml:space="preserve">, </w:t>
      </w:r>
      <w:r>
        <w:rPr>
          <w:rFonts w:hint="eastAsia"/>
          <w:lang w:val="en-US" w:eastAsia="zh-CN"/>
        </w:rPr>
        <w:t>LS on BWP operation without bandwidth restriction.</w:t>
      </w: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jc w:val="left"/>
        <w:rPr>
          <w:lang w:val="zh-CN"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D859E8"/>
    <w:multiLevelType w:val="multilevel"/>
    <w:tmpl w:val="9AD859E8"/>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ascii="Calibri" w:hAnsi="Calibri" w:eastAsia="宋体" w:cs="Times New Roman"/>
        <w:sz w:val="28"/>
        <w:szCs w:val="28"/>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F777A29B"/>
    <w:multiLevelType w:val="singleLevel"/>
    <w:tmpl w:val="F777A29B"/>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C52B717"/>
    <w:multiLevelType w:val="singleLevel"/>
    <w:tmpl w:val="5C52B717"/>
    <w:lvl w:ilvl="0" w:tentative="0">
      <w:start w:val="1"/>
      <w:numFmt w:val="decimal"/>
      <w:suff w:val="space"/>
      <w:lvlText w:val="[%1]."/>
      <w:lvlJc w:val="left"/>
    </w:lvl>
  </w:abstractNum>
  <w:abstractNum w:abstractNumId="8">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A619BB6"/>
    <w:multiLevelType w:val="singleLevel"/>
    <w:tmpl w:val="7A619BB6"/>
    <w:lvl w:ilvl="0" w:tentative="0">
      <w:start w:val="1"/>
      <w:numFmt w:val="decimal"/>
      <w:lvlText w:val="%1)"/>
      <w:lvlJc w:val="left"/>
      <w:pPr>
        <w:ind w:left="425" w:hanging="425"/>
      </w:pPr>
      <w:rPr>
        <w:rFonts w:hint="default"/>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0"/>
  </w:num>
  <w:num w:numId="4">
    <w:abstractNumId w:val="5"/>
  </w:num>
  <w:num w:numId="5">
    <w:abstractNumId w:val="3"/>
    <w:lvlOverride w:ilvl="0">
      <w:startOverride w:val="1"/>
    </w:lvlOverride>
  </w:num>
  <w:num w:numId="6">
    <w:abstractNumId w:val="4"/>
  </w:num>
  <w:num w:numId="7">
    <w:abstractNumId w:val="8"/>
  </w:num>
  <w:num w:numId="8">
    <w:abstractNumId w:val="6"/>
  </w:num>
  <w:num w:numId="9">
    <w:abstractNumId w:val="9"/>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3D1"/>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7A5"/>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24A0395"/>
    <w:rsid w:val="028B4790"/>
    <w:rsid w:val="02BB41EA"/>
    <w:rsid w:val="04AD3391"/>
    <w:rsid w:val="04AF36CD"/>
    <w:rsid w:val="05245B99"/>
    <w:rsid w:val="05ED6928"/>
    <w:rsid w:val="05FD5747"/>
    <w:rsid w:val="065627C1"/>
    <w:rsid w:val="078E05F8"/>
    <w:rsid w:val="07D57DB1"/>
    <w:rsid w:val="080A56E7"/>
    <w:rsid w:val="085E35E5"/>
    <w:rsid w:val="08B03930"/>
    <w:rsid w:val="093F2F86"/>
    <w:rsid w:val="09D92376"/>
    <w:rsid w:val="0A1A711A"/>
    <w:rsid w:val="0B09434A"/>
    <w:rsid w:val="0B4B4717"/>
    <w:rsid w:val="0C104FB4"/>
    <w:rsid w:val="0C723797"/>
    <w:rsid w:val="0CF504BA"/>
    <w:rsid w:val="0DFB338A"/>
    <w:rsid w:val="0E493382"/>
    <w:rsid w:val="0E70415A"/>
    <w:rsid w:val="0EB848E8"/>
    <w:rsid w:val="0F425114"/>
    <w:rsid w:val="0F952D26"/>
    <w:rsid w:val="0FDF1508"/>
    <w:rsid w:val="10327F14"/>
    <w:rsid w:val="103340F9"/>
    <w:rsid w:val="11716EC8"/>
    <w:rsid w:val="128B1E30"/>
    <w:rsid w:val="12D17891"/>
    <w:rsid w:val="13F80122"/>
    <w:rsid w:val="155214F8"/>
    <w:rsid w:val="157B0731"/>
    <w:rsid w:val="163A4982"/>
    <w:rsid w:val="180F1D71"/>
    <w:rsid w:val="1814086C"/>
    <w:rsid w:val="18373223"/>
    <w:rsid w:val="194A2E5F"/>
    <w:rsid w:val="1BAF4DBD"/>
    <w:rsid w:val="1C2F289E"/>
    <w:rsid w:val="1C844AA1"/>
    <w:rsid w:val="1D273210"/>
    <w:rsid w:val="1DE61E5C"/>
    <w:rsid w:val="1EE17F6B"/>
    <w:rsid w:val="1EF02F93"/>
    <w:rsid w:val="1F086558"/>
    <w:rsid w:val="1F276CAD"/>
    <w:rsid w:val="210D3A11"/>
    <w:rsid w:val="21BD18F1"/>
    <w:rsid w:val="227F0134"/>
    <w:rsid w:val="22AD2C20"/>
    <w:rsid w:val="22F96167"/>
    <w:rsid w:val="245A47BE"/>
    <w:rsid w:val="245F2C73"/>
    <w:rsid w:val="24854438"/>
    <w:rsid w:val="25B23E72"/>
    <w:rsid w:val="25DB593B"/>
    <w:rsid w:val="26C077B2"/>
    <w:rsid w:val="26D81CD5"/>
    <w:rsid w:val="273C1A6E"/>
    <w:rsid w:val="27B2631F"/>
    <w:rsid w:val="27D30B6B"/>
    <w:rsid w:val="295C300E"/>
    <w:rsid w:val="29ED27E8"/>
    <w:rsid w:val="2A010B32"/>
    <w:rsid w:val="2AE03C66"/>
    <w:rsid w:val="2B205F59"/>
    <w:rsid w:val="2B5B5919"/>
    <w:rsid w:val="2C024F81"/>
    <w:rsid w:val="2C1B4A16"/>
    <w:rsid w:val="2CD20644"/>
    <w:rsid w:val="2CF71CC5"/>
    <w:rsid w:val="2D8B1738"/>
    <w:rsid w:val="2DC176CB"/>
    <w:rsid w:val="2F045B6C"/>
    <w:rsid w:val="2F2143CA"/>
    <w:rsid w:val="2F2B21A4"/>
    <w:rsid w:val="2F745F8D"/>
    <w:rsid w:val="30683DA3"/>
    <w:rsid w:val="30860F97"/>
    <w:rsid w:val="319B7314"/>
    <w:rsid w:val="324218ED"/>
    <w:rsid w:val="33D7069A"/>
    <w:rsid w:val="33EF3C3F"/>
    <w:rsid w:val="34033C33"/>
    <w:rsid w:val="34B5595F"/>
    <w:rsid w:val="351F25EB"/>
    <w:rsid w:val="36302B3E"/>
    <w:rsid w:val="369A0F6F"/>
    <w:rsid w:val="385037F4"/>
    <w:rsid w:val="385D7563"/>
    <w:rsid w:val="39190D4C"/>
    <w:rsid w:val="3A1B3218"/>
    <w:rsid w:val="3AB42E30"/>
    <w:rsid w:val="3AC2541B"/>
    <w:rsid w:val="3BD85034"/>
    <w:rsid w:val="3C19060B"/>
    <w:rsid w:val="3D293BFD"/>
    <w:rsid w:val="3E2D3A57"/>
    <w:rsid w:val="3EBF5B27"/>
    <w:rsid w:val="40065F6E"/>
    <w:rsid w:val="40E94148"/>
    <w:rsid w:val="410B6999"/>
    <w:rsid w:val="419A494B"/>
    <w:rsid w:val="420F30AE"/>
    <w:rsid w:val="429F2DD2"/>
    <w:rsid w:val="44297942"/>
    <w:rsid w:val="44577955"/>
    <w:rsid w:val="447E46F5"/>
    <w:rsid w:val="44C54A7C"/>
    <w:rsid w:val="45303318"/>
    <w:rsid w:val="45FF2BE7"/>
    <w:rsid w:val="461438CC"/>
    <w:rsid w:val="469F4B4D"/>
    <w:rsid w:val="475B1316"/>
    <w:rsid w:val="48316ECF"/>
    <w:rsid w:val="4991545C"/>
    <w:rsid w:val="49915FBE"/>
    <w:rsid w:val="49B57A44"/>
    <w:rsid w:val="4A8C6198"/>
    <w:rsid w:val="4AA466E1"/>
    <w:rsid w:val="4B3D72BD"/>
    <w:rsid w:val="4BD24232"/>
    <w:rsid w:val="4C283C71"/>
    <w:rsid w:val="4C754212"/>
    <w:rsid w:val="4C8A66D8"/>
    <w:rsid w:val="4D377D46"/>
    <w:rsid w:val="4D6B6BCF"/>
    <w:rsid w:val="4EA35D4F"/>
    <w:rsid w:val="4EA45AEB"/>
    <w:rsid w:val="4EB964E9"/>
    <w:rsid w:val="4EEE3787"/>
    <w:rsid w:val="505535ED"/>
    <w:rsid w:val="510A57C9"/>
    <w:rsid w:val="510F2986"/>
    <w:rsid w:val="51573564"/>
    <w:rsid w:val="525409D0"/>
    <w:rsid w:val="52DC0452"/>
    <w:rsid w:val="53F84FD7"/>
    <w:rsid w:val="541052E8"/>
    <w:rsid w:val="55097FF2"/>
    <w:rsid w:val="55445EC5"/>
    <w:rsid w:val="58560654"/>
    <w:rsid w:val="59087443"/>
    <w:rsid w:val="591755AC"/>
    <w:rsid w:val="5A0D0C86"/>
    <w:rsid w:val="5A9C33B4"/>
    <w:rsid w:val="5C4702BA"/>
    <w:rsid w:val="5CF77C04"/>
    <w:rsid w:val="5D092D00"/>
    <w:rsid w:val="5D3C6D21"/>
    <w:rsid w:val="5DB15467"/>
    <w:rsid w:val="5E1D042F"/>
    <w:rsid w:val="5E4B6A2C"/>
    <w:rsid w:val="5F1226AB"/>
    <w:rsid w:val="5F5055E8"/>
    <w:rsid w:val="5FB578ED"/>
    <w:rsid w:val="5FED3BAE"/>
    <w:rsid w:val="5FF342F4"/>
    <w:rsid w:val="600346E5"/>
    <w:rsid w:val="601A650C"/>
    <w:rsid w:val="606320ED"/>
    <w:rsid w:val="60E21134"/>
    <w:rsid w:val="610F04BA"/>
    <w:rsid w:val="61187928"/>
    <w:rsid w:val="617C5A31"/>
    <w:rsid w:val="61E002B8"/>
    <w:rsid w:val="623D0647"/>
    <w:rsid w:val="627F6E5D"/>
    <w:rsid w:val="62C85A18"/>
    <w:rsid w:val="639840C8"/>
    <w:rsid w:val="64B3745D"/>
    <w:rsid w:val="65202929"/>
    <w:rsid w:val="66925B0D"/>
    <w:rsid w:val="67A472DD"/>
    <w:rsid w:val="67C72B76"/>
    <w:rsid w:val="680C1616"/>
    <w:rsid w:val="683C1BF6"/>
    <w:rsid w:val="693657A6"/>
    <w:rsid w:val="69B42D6F"/>
    <w:rsid w:val="6A5142E6"/>
    <w:rsid w:val="6A9D39D0"/>
    <w:rsid w:val="6B2A25BA"/>
    <w:rsid w:val="6B7A1F79"/>
    <w:rsid w:val="6B7A6394"/>
    <w:rsid w:val="6BAE4356"/>
    <w:rsid w:val="6BF22920"/>
    <w:rsid w:val="6C832FFA"/>
    <w:rsid w:val="6D0B196D"/>
    <w:rsid w:val="6D156B4B"/>
    <w:rsid w:val="6D277A90"/>
    <w:rsid w:val="6EC85980"/>
    <w:rsid w:val="6EDD7011"/>
    <w:rsid w:val="6F0E079A"/>
    <w:rsid w:val="6F6373BD"/>
    <w:rsid w:val="74525480"/>
    <w:rsid w:val="781612F9"/>
    <w:rsid w:val="782F0E31"/>
    <w:rsid w:val="78504EF4"/>
    <w:rsid w:val="79826D31"/>
    <w:rsid w:val="79E60B40"/>
    <w:rsid w:val="79F33B7B"/>
    <w:rsid w:val="7A422E5A"/>
    <w:rsid w:val="7A726F86"/>
    <w:rsid w:val="7ABB542F"/>
    <w:rsid w:val="7B1055AE"/>
    <w:rsid w:val="7B6E1F8A"/>
    <w:rsid w:val="7BC07908"/>
    <w:rsid w:val="7D0B672C"/>
    <w:rsid w:val="7F744F34"/>
    <w:rsid w:val="7F8815A6"/>
    <w:rsid w:val="7FA633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Default"/>
    <w:qFormat/>
    <w:uiPriority w:val="0"/>
    <w:pPr>
      <w:widowControl w:val="0"/>
      <w:autoSpaceDE w:val="0"/>
      <w:autoSpaceDN w:val="0"/>
      <w:adjustRightInd w:val="0"/>
      <w:spacing w:before="0" w:after="0"/>
      <w:ind w:left="0" w:firstLine="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3518A-9125-4CF5-BE5B-C28F80CCAFAA}">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3</Pages>
  <Words>1066</Words>
  <Characters>6079</Characters>
  <Lines>50</Lines>
  <Paragraphs>14</Paragraphs>
  <TotalTime>23</TotalTime>
  <ScaleCrop>false</ScaleCrop>
  <LinksUpToDate>false</LinksUpToDate>
  <CharactersWithSpaces>7131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2021-08-06T10:35:00Z</dcterms:created>
  <dc:creator>CMCC</dc:creator>
  <cp:keywords>ESA, style sheet, Winword</cp:keywords>
  <cp:lastModifiedBy>狐狸姐</cp:lastModifiedBy>
  <cp:lastPrinted>2013-04-02T02:18:00Z</cp:lastPrinted>
  <dcterms:modified xsi:type="dcterms:W3CDTF">2022-04-29T07:14:50Z</dcterms:modified>
  <dc:subject>Word for Windows 6.x &amp; 95+</dc:subject>
  <dc:title>ETSI stylesheet (v.7.0)</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C887FA4C37084045BAB19D8D771D1ED0</vt:lpwstr>
  </property>
</Properties>
</file>